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602042">
      <w:pPr>
        <w:ind w:firstLine="1606" w:firstLineChars="500"/>
        <w:jc w:val="both"/>
        <w:rPr>
          <w:rFonts w:hint="eastAsia" w:ascii="宋体" w:hAnsi="宋体"/>
          <w:bCs/>
          <w:sz w:val="28"/>
          <w:szCs w:val="28"/>
        </w:rPr>
      </w:pPr>
      <w:bookmarkStart w:id="0" w:name="_GoBack"/>
      <w:bookmarkEnd w:id="0"/>
      <w:r>
        <w:rPr>
          <w:rFonts w:hint="eastAsia" w:ascii="宋体" w:hAnsi="宋体" w:eastAsia="宋体" w:cs="宋体"/>
          <w:b/>
          <w:bCs/>
          <w:sz w:val="32"/>
          <w:szCs w:val="32"/>
          <w:lang w:val="en-US" w:eastAsia="zh-Hans"/>
        </w:rPr>
        <w:t>间接检眼镜</w:t>
      </w:r>
      <w:r>
        <w:rPr>
          <w:rFonts w:hint="eastAsia" w:ascii="宋体" w:hAnsi="宋体"/>
          <w:b/>
          <w:sz w:val="32"/>
          <w:szCs w:val="32"/>
        </w:rPr>
        <w:t>的技术参数及配置要求</w:t>
      </w:r>
    </w:p>
    <w:tbl>
      <w:tblPr>
        <w:tblStyle w:val="5"/>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7020"/>
      </w:tblGrid>
      <w:tr w14:paraId="5C3A7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14:paraId="06786749">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rPr>
                <w:sz w:val="28"/>
                <w:szCs w:val="28"/>
              </w:rPr>
            </w:pPr>
            <w:r>
              <w:rPr>
                <w:rFonts w:hint="eastAsia"/>
                <w:sz w:val="28"/>
                <w:szCs w:val="28"/>
              </w:rPr>
              <w:t>项目名称</w:t>
            </w:r>
          </w:p>
        </w:tc>
        <w:tc>
          <w:tcPr>
            <w:tcW w:w="7020" w:type="dxa"/>
            <w:tcBorders>
              <w:top w:val="single" w:color="auto" w:sz="4" w:space="0"/>
              <w:left w:val="single" w:color="auto" w:sz="4" w:space="0"/>
              <w:bottom w:val="single" w:color="auto" w:sz="4" w:space="0"/>
              <w:right w:val="single" w:color="auto" w:sz="4" w:space="0"/>
            </w:tcBorders>
            <w:noWrap w:val="0"/>
            <w:vAlign w:val="top"/>
          </w:tcPr>
          <w:p w14:paraId="78F846F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sz w:val="28"/>
                <w:szCs w:val="28"/>
              </w:rPr>
            </w:pPr>
            <w:r>
              <w:rPr>
                <w:rFonts w:hint="eastAsia"/>
                <w:sz w:val="28"/>
                <w:szCs w:val="28"/>
              </w:rPr>
              <w:t>项参数说明</w:t>
            </w:r>
          </w:p>
        </w:tc>
      </w:tr>
      <w:tr w14:paraId="2869E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14:paraId="0E9C0B4B">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sz w:val="24"/>
              </w:rPr>
            </w:pPr>
            <w:r>
              <w:rPr>
                <w:rFonts w:hint="eastAsia" w:ascii="宋体" w:hAnsi="宋体" w:eastAsia="宋体" w:cs="宋体"/>
                <w:sz w:val="24"/>
              </w:rPr>
              <w:t>申购设备名称</w:t>
            </w:r>
          </w:p>
        </w:tc>
        <w:tc>
          <w:tcPr>
            <w:tcW w:w="7020" w:type="dxa"/>
            <w:tcBorders>
              <w:top w:val="single" w:color="auto" w:sz="4" w:space="0"/>
              <w:left w:val="single" w:color="auto" w:sz="4" w:space="0"/>
              <w:bottom w:val="single" w:color="auto" w:sz="4" w:space="0"/>
              <w:right w:val="single" w:color="auto" w:sz="4" w:space="0"/>
            </w:tcBorders>
            <w:noWrap w:val="0"/>
            <w:vAlign w:val="top"/>
          </w:tcPr>
          <w:p w14:paraId="4C91D9F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lang w:val="en-US" w:eastAsia="zh-Hans"/>
              </w:rPr>
            </w:pPr>
            <w:r>
              <w:rPr>
                <w:rFonts w:hint="eastAsia" w:ascii="宋体" w:hAnsi="宋体" w:eastAsia="宋体" w:cs="宋体"/>
                <w:sz w:val="24"/>
                <w:lang w:val="en-US" w:eastAsia="zh-Hans"/>
              </w:rPr>
              <w:t>间接检眼镜</w:t>
            </w:r>
          </w:p>
        </w:tc>
      </w:tr>
      <w:tr w14:paraId="01FE7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14:paraId="6EA38DBA">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sz w:val="24"/>
              </w:rPr>
            </w:pPr>
            <w:r>
              <w:rPr>
                <w:rFonts w:hint="eastAsia" w:ascii="宋体" w:hAnsi="宋体" w:eastAsia="宋体" w:cs="宋体"/>
                <w:sz w:val="24"/>
              </w:rPr>
              <w:t>用途及适用人群</w:t>
            </w:r>
          </w:p>
        </w:tc>
        <w:tc>
          <w:tcPr>
            <w:tcW w:w="7020" w:type="dxa"/>
            <w:tcBorders>
              <w:top w:val="single" w:color="auto" w:sz="4" w:space="0"/>
              <w:left w:val="single" w:color="auto" w:sz="4" w:space="0"/>
              <w:bottom w:val="single" w:color="auto" w:sz="4" w:space="0"/>
              <w:right w:val="single" w:color="auto" w:sz="4" w:space="0"/>
            </w:tcBorders>
            <w:noWrap w:val="0"/>
            <w:vAlign w:val="top"/>
          </w:tcPr>
          <w:p w14:paraId="3A897EA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b w:val="0"/>
                <w:bCs w:val="0"/>
                <w:sz w:val="24"/>
                <w:lang w:val="en-US" w:eastAsia="zh-Hans"/>
              </w:rPr>
              <w:t>间接检眼镜</w:t>
            </w:r>
            <w:r>
              <w:rPr>
                <w:rFonts w:hint="eastAsia" w:ascii="宋体" w:hAnsi="宋体" w:eastAsia="宋体" w:cs="宋体"/>
                <w:b w:val="0"/>
                <w:bCs w:val="0"/>
                <w:sz w:val="24"/>
                <w:lang w:val="en-US" w:eastAsia="zh-CN"/>
              </w:rPr>
              <w:t>可以检查广泛的患者群体：间接检眼镜适用于不同年龄和病情的患者，包括新生儿、儿童、老年人和患有眼部疾病的患者。危重新生儿救治中心要求医院配备有间接检眼镜，2024年玉林市产科、新生儿科和产前筛查工作质量检查存在问题中也指出我院危重新生儿救治中心没有配置间接检眼镜。</w:t>
            </w:r>
          </w:p>
        </w:tc>
      </w:tr>
      <w:tr w14:paraId="4F1DB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14:paraId="269F699F">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sz w:val="24"/>
              </w:rPr>
            </w:pPr>
          </w:p>
          <w:p w14:paraId="1891191B">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sz w:val="24"/>
              </w:rPr>
            </w:pPr>
          </w:p>
          <w:p w14:paraId="0C7B4B4F">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sz w:val="24"/>
              </w:rPr>
            </w:pPr>
            <w:r>
              <w:rPr>
                <w:rFonts w:hint="eastAsia" w:ascii="宋体" w:hAnsi="宋体" w:eastAsia="宋体" w:cs="宋体"/>
                <w:sz w:val="24"/>
              </w:rPr>
              <w:t>设备的功能要求</w:t>
            </w:r>
          </w:p>
        </w:tc>
        <w:tc>
          <w:tcPr>
            <w:tcW w:w="7020" w:type="dxa"/>
            <w:tcBorders>
              <w:top w:val="single" w:color="auto" w:sz="4" w:space="0"/>
              <w:left w:val="single" w:color="auto" w:sz="4" w:space="0"/>
              <w:bottom w:val="single" w:color="auto" w:sz="4" w:space="0"/>
              <w:right w:val="single" w:color="auto" w:sz="4" w:space="0"/>
            </w:tcBorders>
            <w:noWrap w:val="0"/>
            <w:vAlign w:val="top"/>
          </w:tcPr>
          <w:p w14:paraId="4FC65498">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eastAsia="zh-Hans"/>
              </w:rPr>
              <w:t>1</w:t>
            </w:r>
            <w:r>
              <w:rPr>
                <w:rFonts w:hint="eastAsia" w:ascii="宋体" w:hAnsi="宋体" w:cs="宋体"/>
                <w:b w:val="0"/>
                <w:bCs w:val="0"/>
                <w:sz w:val="24"/>
                <w:lang w:val="en-US" w:eastAsia="zh-CN"/>
              </w:rPr>
              <w:t>.</w:t>
            </w:r>
            <w:r>
              <w:rPr>
                <w:rFonts w:hint="eastAsia" w:ascii="宋体" w:hAnsi="宋体" w:eastAsia="宋体" w:cs="宋体"/>
                <w:b w:val="0"/>
                <w:bCs w:val="0"/>
                <w:sz w:val="24"/>
                <w:lang w:val="en-US" w:eastAsia="zh-Hans"/>
              </w:rPr>
              <w:t>间接检眼镜</w:t>
            </w:r>
            <w:r>
              <w:rPr>
                <w:rFonts w:hint="eastAsia" w:ascii="宋体" w:hAnsi="宋体" w:eastAsia="宋体" w:cs="宋体"/>
                <w:b w:val="0"/>
                <w:bCs w:val="0"/>
                <w:sz w:val="24"/>
                <w:lang w:val="en-US" w:eastAsia="zh-CN"/>
              </w:rPr>
              <w:t>视野广阔：间接检眼镜的镜头比常规的直接检眼镜要大，因此可以提供更广阔的视野，更全面地观察眼底。</w:t>
            </w:r>
          </w:p>
          <w:p w14:paraId="5BAD73F2">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eastAsia="zh-CN"/>
              </w:rPr>
              <w:t>2</w:t>
            </w:r>
            <w:r>
              <w:rPr>
                <w:rFonts w:hint="eastAsia" w:ascii="宋体" w:hAnsi="宋体" w:cs="宋体"/>
                <w:b w:val="0"/>
                <w:bCs w:val="0"/>
                <w:sz w:val="24"/>
                <w:lang w:val="en-US" w:eastAsia="zh-CN"/>
              </w:rPr>
              <w:t>.</w:t>
            </w:r>
            <w:r>
              <w:rPr>
                <w:rFonts w:hint="eastAsia" w:ascii="宋体" w:hAnsi="宋体" w:eastAsia="宋体" w:cs="宋体"/>
                <w:b w:val="0"/>
                <w:bCs w:val="0"/>
                <w:sz w:val="24"/>
                <w:lang w:val="en-US" w:eastAsia="zh-CN"/>
              </w:rPr>
              <w:t>放大倍数大：间接检眼镜的镜头可以提供更大的放大倍数，使医生可以更清晰地观察眼底结构，包括视神经头、视网膜血管和黄斑区。可以观察到更远的眼部结构：间接检眼镜可以观察到视网膜远离中央凹的区域，这些区域通常不能通过直接检眼镜观察到。</w:t>
            </w:r>
          </w:p>
          <w:p w14:paraId="0CBE87BF">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b w:val="0"/>
                <w:bCs w:val="0"/>
                <w:sz w:val="24"/>
                <w:lang w:eastAsia="zh-CN"/>
              </w:rPr>
              <w:t>3</w:t>
            </w:r>
            <w:r>
              <w:rPr>
                <w:rFonts w:hint="eastAsia" w:ascii="宋体" w:hAnsi="宋体" w:cs="宋体"/>
                <w:b w:val="0"/>
                <w:bCs w:val="0"/>
                <w:sz w:val="24"/>
                <w:lang w:val="en-US" w:eastAsia="zh-CN"/>
              </w:rPr>
              <w:t>.</w:t>
            </w:r>
            <w:r>
              <w:rPr>
                <w:rFonts w:hint="eastAsia" w:ascii="宋体" w:hAnsi="宋体" w:eastAsia="宋体" w:cs="宋体"/>
                <w:b w:val="0"/>
                <w:bCs w:val="0"/>
                <w:sz w:val="24"/>
                <w:lang w:val="en-US" w:eastAsia="zh-Hans"/>
              </w:rPr>
              <w:t>间接检眼镜</w:t>
            </w:r>
            <w:r>
              <w:rPr>
                <w:rFonts w:hint="eastAsia" w:ascii="宋体" w:hAnsi="宋体" w:eastAsia="宋体" w:cs="宋体"/>
                <w:b w:val="0"/>
                <w:bCs w:val="0"/>
                <w:sz w:val="24"/>
                <w:lang w:val="en-US" w:eastAsia="zh-CN"/>
              </w:rPr>
              <w:t>操作简单：使用间接检眼镜时，医生可以坐在患者旁边，通过带有头带的支架将镜头放置在患者眼睛前方，进行观察。相比之下，直接检眼镜需要医生将镜头放置在患者眼睛上方，更难以操作。</w:t>
            </w:r>
          </w:p>
        </w:tc>
      </w:tr>
      <w:tr w14:paraId="496A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14:paraId="053234DB">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sz w:val="24"/>
              </w:rPr>
            </w:pPr>
          </w:p>
          <w:p w14:paraId="2927E767">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sz w:val="24"/>
              </w:rPr>
            </w:pPr>
          </w:p>
          <w:p w14:paraId="1348D7B5">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sz w:val="24"/>
              </w:rPr>
            </w:pPr>
          </w:p>
          <w:p w14:paraId="7EACA532">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sz w:val="24"/>
              </w:rPr>
            </w:pPr>
            <w:r>
              <w:rPr>
                <w:rFonts w:hint="eastAsia" w:ascii="宋体" w:hAnsi="宋体" w:eastAsia="宋体" w:cs="宋体"/>
                <w:sz w:val="24"/>
              </w:rPr>
              <w:t>功能的技术指标及其他技术参数</w:t>
            </w:r>
          </w:p>
        </w:tc>
        <w:tc>
          <w:tcPr>
            <w:tcW w:w="7020" w:type="dxa"/>
            <w:tcBorders>
              <w:top w:val="single" w:color="auto" w:sz="4" w:space="0"/>
              <w:left w:val="single" w:color="auto" w:sz="4" w:space="0"/>
              <w:bottom w:val="single" w:color="auto" w:sz="4" w:space="0"/>
              <w:right w:val="single" w:color="auto" w:sz="4" w:space="0"/>
            </w:tcBorders>
            <w:noWrap w:val="0"/>
            <w:vAlign w:val="top"/>
          </w:tcPr>
          <w:p w14:paraId="500C0C8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Hans"/>
              </w:rPr>
              <w:t>间接检眼镜参数</w:t>
            </w:r>
            <w:r>
              <w:rPr>
                <w:rFonts w:hint="eastAsia" w:ascii="宋体" w:hAnsi="宋体" w:eastAsia="宋体" w:cs="宋体"/>
                <w:sz w:val="24"/>
                <w:szCs w:val="24"/>
                <w:lang w:eastAsia="zh-Hans"/>
              </w:rPr>
              <w:t>：</w:t>
            </w:r>
          </w:p>
          <w:p w14:paraId="36504B4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w:t>
            </w:r>
            <w:r>
              <w:rPr>
                <w:rFonts w:hint="eastAsia" w:ascii="宋体" w:hAnsi="宋体" w:eastAsia="宋体" w:cs="宋体"/>
                <w:sz w:val="24"/>
                <w:szCs w:val="24"/>
              </w:rPr>
              <w:t>光斑尺寸：大、中、小</w:t>
            </w:r>
          </w:p>
          <w:p w14:paraId="6EC67D7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w:t>
            </w:r>
            <w:r>
              <w:rPr>
                <w:rFonts w:hint="eastAsia" w:ascii="宋体" w:hAnsi="宋体" w:eastAsia="宋体" w:cs="宋体"/>
                <w:sz w:val="24"/>
                <w:szCs w:val="24"/>
              </w:rPr>
              <w:t>弥散光滤镜：整合的弥散光滤镜，扩大照明范围，减少眩光和反射</w:t>
            </w:r>
          </w:p>
          <w:p w14:paraId="44D8DDC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szCs w:val="24"/>
                <w:lang w:val="en-US" w:eastAsia="zh-CN"/>
              </w:rPr>
              <w:t>.</w:t>
            </w:r>
            <w:r>
              <w:rPr>
                <w:rFonts w:hint="eastAsia" w:ascii="宋体" w:hAnsi="宋体" w:eastAsia="宋体" w:cs="宋体"/>
                <w:sz w:val="24"/>
                <w:szCs w:val="24"/>
              </w:rPr>
              <w:t>滤镜种类：无赤光滤镜、钴蓝光滤镜、黄色滤镜</w:t>
            </w:r>
          </w:p>
          <w:p w14:paraId="0B95180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cs="宋体"/>
                <w:sz w:val="24"/>
                <w:szCs w:val="24"/>
                <w:lang w:val="en-US" w:eastAsia="zh-CN"/>
              </w:rPr>
              <w:t>.</w:t>
            </w:r>
            <w:r>
              <w:rPr>
                <w:rFonts w:hint="eastAsia" w:ascii="宋体" w:hAnsi="宋体" w:eastAsia="宋体" w:cs="宋体"/>
                <w:sz w:val="24"/>
                <w:szCs w:val="24"/>
              </w:rPr>
              <w:t>光斑和滤镜调节杆可锁：具有摩擦离合器，在“锁定“状态下，避免因用力过大造成的设备损坏</w:t>
            </w:r>
          </w:p>
          <w:p w14:paraId="360C287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cs="宋体"/>
                <w:sz w:val="24"/>
                <w:szCs w:val="24"/>
                <w:lang w:val="en-US" w:eastAsia="zh-CN"/>
              </w:rPr>
              <w:t>.</w:t>
            </w:r>
            <w:r>
              <w:rPr>
                <w:rFonts w:hint="eastAsia" w:ascii="宋体" w:hAnsi="宋体" w:eastAsia="宋体" w:cs="宋体"/>
                <w:sz w:val="24"/>
                <w:szCs w:val="24"/>
              </w:rPr>
              <w:t>照明光线调整：可单独微调，角度为垂直±4º</w:t>
            </w:r>
          </w:p>
          <w:p w14:paraId="2F84BA8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cs="宋体"/>
                <w:sz w:val="24"/>
                <w:szCs w:val="24"/>
                <w:lang w:val="en-US" w:eastAsia="zh-CN"/>
              </w:rPr>
              <w:t>.</w:t>
            </w:r>
            <w:r>
              <w:rPr>
                <w:rFonts w:hint="eastAsia" w:ascii="宋体" w:hAnsi="宋体" w:eastAsia="宋体" w:cs="宋体"/>
                <w:sz w:val="24"/>
                <w:szCs w:val="24"/>
              </w:rPr>
              <w:t>HQ LED光源：独立研发的眼科LED光源，显色指数高达87，更加节能以及避免更换灯泡的困扰</w:t>
            </w:r>
          </w:p>
          <w:p w14:paraId="6FAFB50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cs="宋体"/>
                <w:sz w:val="24"/>
                <w:szCs w:val="24"/>
                <w:lang w:val="en-US" w:eastAsia="zh-CN"/>
              </w:rPr>
              <w:t>.</w:t>
            </w:r>
            <w:r>
              <w:rPr>
                <w:rFonts w:hint="eastAsia" w:ascii="宋体" w:hAnsi="宋体" w:eastAsia="宋体" w:cs="宋体"/>
                <w:sz w:val="24"/>
                <w:szCs w:val="24"/>
              </w:rPr>
              <w:t>金属光学器件支架：铝制光学器件支架，确保耐用性</w:t>
            </w:r>
          </w:p>
          <w:p w14:paraId="543E952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cs="宋体"/>
                <w:sz w:val="24"/>
                <w:szCs w:val="24"/>
                <w:lang w:val="en-US" w:eastAsia="zh-CN"/>
              </w:rPr>
              <w:t>.</w:t>
            </w:r>
            <w:r>
              <w:rPr>
                <w:rFonts w:hint="eastAsia" w:ascii="宋体" w:hAnsi="宋体" w:eastAsia="宋体" w:cs="宋体"/>
                <w:sz w:val="24"/>
                <w:szCs w:val="24"/>
              </w:rPr>
              <w:t>光学器件密闭：防尘免维护</w:t>
            </w:r>
          </w:p>
          <w:p w14:paraId="03421AE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cs="宋体"/>
                <w:sz w:val="24"/>
                <w:szCs w:val="24"/>
                <w:lang w:val="en-US" w:eastAsia="zh-CN"/>
              </w:rPr>
              <w:t>.</w:t>
            </w:r>
            <w:r>
              <w:rPr>
                <w:rFonts w:hint="eastAsia" w:ascii="宋体" w:hAnsi="宋体" w:eastAsia="宋体" w:cs="宋体"/>
                <w:sz w:val="24"/>
                <w:szCs w:val="24"/>
              </w:rPr>
              <w:t>瞳孔大小：≥1mm</w:t>
            </w:r>
          </w:p>
          <w:p w14:paraId="7FF411C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cs="宋体"/>
                <w:sz w:val="24"/>
                <w:szCs w:val="24"/>
                <w:lang w:val="en-US" w:eastAsia="zh-CN"/>
              </w:rPr>
              <w:t>.</w:t>
            </w:r>
            <w:r>
              <w:rPr>
                <w:rFonts w:hint="eastAsia" w:ascii="宋体" w:hAnsi="宋体" w:eastAsia="宋体" w:cs="宋体"/>
                <w:sz w:val="24"/>
                <w:szCs w:val="24"/>
              </w:rPr>
              <w:t>瞳距范围：46—74mm</w:t>
            </w:r>
          </w:p>
          <w:p w14:paraId="6C7BD70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cs="宋体"/>
                <w:sz w:val="24"/>
                <w:szCs w:val="24"/>
                <w:lang w:val="en-US" w:eastAsia="zh-CN"/>
              </w:rPr>
              <w:t>.</w:t>
            </w:r>
            <w:r>
              <w:rPr>
                <w:rFonts w:hint="eastAsia" w:ascii="宋体" w:hAnsi="宋体" w:eastAsia="宋体" w:cs="宋体"/>
                <w:sz w:val="24"/>
                <w:szCs w:val="24"/>
              </w:rPr>
              <w:t>照明光线和观察光线同步调节系统</w:t>
            </w:r>
          </w:p>
          <w:p w14:paraId="7D78C48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w:t>
            </w:r>
            <w:r>
              <w:rPr>
                <w:rFonts w:hint="eastAsia" w:ascii="宋体" w:hAnsi="宋体" w:cs="宋体"/>
                <w:sz w:val="24"/>
                <w:szCs w:val="24"/>
                <w:lang w:val="en-US" w:eastAsia="zh-CN"/>
              </w:rPr>
              <w:t>.</w:t>
            </w:r>
            <w:r>
              <w:rPr>
                <w:rFonts w:hint="eastAsia" w:ascii="宋体" w:hAnsi="宋体" w:eastAsia="宋体" w:cs="宋体"/>
                <w:sz w:val="24"/>
                <w:szCs w:val="24"/>
              </w:rPr>
              <w:t>翻转锁定装置：无需摘下，将镜体翻转并锁定在视线范围外，13</w:t>
            </w:r>
            <w:r>
              <w:rPr>
                <w:rFonts w:hint="eastAsia" w:ascii="宋体" w:hAnsi="宋体" w:cs="宋体"/>
                <w:sz w:val="24"/>
                <w:szCs w:val="24"/>
                <w:lang w:val="en-US" w:eastAsia="zh-CN"/>
              </w:rPr>
              <w:t>.</w:t>
            </w:r>
            <w:r>
              <w:rPr>
                <w:rFonts w:hint="eastAsia" w:ascii="宋体" w:hAnsi="宋体" w:eastAsia="宋体" w:cs="宋体"/>
                <w:sz w:val="24"/>
                <w:szCs w:val="24"/>
              </w:rPr>
              <w:t>4种锁定角度0 º、12.5 º、47.5 º、60 º</w:t>
            </w:r>
          </w:p>
          <w:p w14:paraId="4388CA1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cs="宋体"/>
                <w:sz w:val="24"/>
                <w:szCs w:val="24"/>
                <w:lang w:val="en-US" w:eastAsia="zh-CN"/>
              </w:rPr>
              <w:t>.</w:t>
            </w:r>
            <w:r>
              <w:rPr>
                <w:rFonts w:hint="eastAsia" w:ascii="宋体" w:hAnsi="宋体" w:eastAsia="宋体" w:cs="宋体"/>
                <w:sz w:val="24"/>
                <w:szCs w:val="24"/>
              </w:rPr>
              <w:t>头带亮度控制器</w:t>
            </w:r>
          </w:p>
          <w:p w14:paraId="3712EF1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w:t>
            </w:r>
            <w:r>
              <w:rPr>
                <w:rFonts w:hint="eastAsia" w:ascii="宋体" w:hAnsi="宋体" w:cs="宋体"/>
                <w:sz w:val="24"/>
                <w:szCs w:val="24"/>
                <w:lang w:val="en-US" w:eastAsia="zh-CN"/>
              </w:rPr>
              <w:t>.</w:t>
            </w:r>
            <w:r>
              <w:rPr>
                <w:rFonts w:hint="eastAsia" w:ascii="宋体" w:hAnsi="宋体" w:eastAsia="宋体" w:cs="宋体"/>
                <w:sz w:val="24"/>
                <w:szCs w:val="24"/>
              </w:rPr>
              <w:t>头带亮度控制器可变换位置：可置于头带左侧或者右侧</w:t>
            </w:r>
          </w:p>
          <w:p w14:paraId="3C6CCB0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w:t>
            </w:r>
            <w:r>
              <w:rPr>
                <w:rFonts w:hint="eastAsia" w:ascii="宋体" w:hAnsi="宋体" w:cs="宋体"/>
                <w:sz w:val="24"/>
                <w:szCs w:val="24"/>
                <w:lang w:val="en-US" w:eastAsia="zh-CN"/>
              </w:rPr>
              <w:t>.</w:t>
            </w:r>
            <w:r>
              <w:rPr>
                <w:rFonts w:hint="eastAsia" w:ascii="宋体" w:hAnsi="宋体" w:eastAsia="宋体" w:cs="宋体"/>
                <w:sz w:val="24"/>
                <w:szCs w:val="24"/>
              </w:rPr>
              <w:t>一体式线绳整合系统</w:t>
            </w:r>
          </w:p>
          <w:p w14:paraId="41800B2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w:t>
            </w:r>
            <w:r>
              <w:rPr>
                <w:rFonts w:hint="eastAsia" w:ascii="宋体" w:hAnsi="宋体" w:cs="宋体"/>
                <w:sz w:val="24"/>
                <w:szCs w:val="24"/>
                <w:lang w:val="en-US" w:eastAsia="zh-CN"/>
              </w:rPr>
              <w:t>.</w:t>
            </w:r>
            <w:r>
              <w:rPr>
                <w:rFonts w:hint="eastAsia" w:ascii="宋体" w:hAnsi="宋体" w:eastAsia="宋体" w:cs="宋体"/>
                <w:sz w:val="24"/>
                <w:szCs w:val="24"/>
              </w:rPr>
              <w:t>电池带LED剩余电量显示功能及充电状态指示</w:t>
            </w:r>
          </w:p>
          <w:p w14:paraId="2EC409B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w:t>
            </w:r>
            <w:r>
              <w:rPr>
                <w:rFonts w:hint="eastAsia" w:ascii="宋体" w:hAnsi="宋体" w:cs="宋体"/>
                <w:sz w:val="24"/>
                <w:szCs w:val="24"/>
                <w:lang w:val="en-US" w:eastAsia="zh-CN"/>
              </w:rPr>
              <w:t>.</w:t>
            </w:r>
            <w:r>
              <w:rPr>
                <w:rFonts w:hint="eastAsia" w:ascii="宋体" w:hAnsi="宋体" w:eastAsia="宋体" w:cs="宋体"/>
                <w:sz w:val="24"/>
                <w:szCs w:val="24"/>
              </w:rPr>
              <w:t>充电时设备可正常工作</w:t>
            </w:r>
          </w:p>
          <w:p w14:paraId="63C66F0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w:t>
            </w:r>
            <w:r>
              <w:rPr>
                <w:rFonts w:hint="eastAsia" w:ascii="宋体" w:hAnsi="宋体" w:cs="宋体"/>
                <w:sz w:val="24"/>
                <w:szCs w:val="24"/>
                <w:lang w:val="en-US" w:eastAsia="zh-CN"/>
              </w:rPr>
              <w:t>.</w:t>
            </w:r>
            <w:r>
              <w:rPr>
                <w:rFonts w:hint="eastAsia" w:ascii="宋体" w:hAnsi="宋体" w:eastAsia="宋体" w:cs="宋体"/>
                <w:sz w:val="24"/>
                <w:szCs w:val="24"/>
              </w:rPr>
              <w:t>无记忆效应锂电池</w:t>
            </w:r>
          </w:p>
        </w:tc>
      </w:tr>
      <w:tr w14:paraId="679D3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14:paraId="25AE23CE">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sz w:val="24"/>
              </w:rPr>
            </w:pPr>
            <w:r>
              <w:rPr>
                <w:rFonts w:hint="eastAsia" w:ascii="宋体" w:hAnsi="宋体" w:eastAsia="宋体" w:cs="宋体"/>
                <w:sz w:val="24"/>
              </w:rPr>
              <w:t>软、硬件的</w:t>
            </w:r>
          </w:p>
          <w:p w14:paraId="09EC59D4">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sz w:val="24"/>
              </w:rPr>
            </w:pPr>
            <w:r>
              <w:rPr>
                <w:rFonts w:hint="eastAsia" w:ascii="宋体" w:hAnsi="宋体" w:eastAsia="宋体" w:cs="宋体"/>
                <w:sz w:val="24"/>
              </w:rPr>
              <w:t>配置要求</w:t>
            </w:r>
          </w:p>
        </w:tc>
        <w:tc>
          <w:tcPr>
            <w:tcW w:w="7020" w:type="dxa"/>
            <w:tcBorders>
              <w:top w:val="single" w:color="auto" w:sz="4" w:space="0"/>
              <w:left w:val="single" w:color="auto" w:sz="4" w:space="0"/>
              <w:bottom w:val="single" w:color="auto" w:sz="4" w:space="0"/>
              <w:right w:val="single" w:color="auto" w:sz="4" w:space="0"/>
            </w:tcBorders>
            <w:noWrap w:val="0"/>
            <w:vAlign w:val="top"/>
          </w:tcPr>
          <w:p w14:paraId="3E6F3BC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lang w:val="en-US" w:eastAsia="zh-CN"/>
              </w:rPr>
            </w:pPr>
            <w:r>
              <w:rPr>
                <w:rFonts w:hint="eastAsia" w:ascii="宋体" w:hAnsi="宋体" w:eastAsia="宋体" w:cs="宋体"/>
                <w:sz w:val="24"/>
              </w:rPr>
              <w:t>1</w:t>
            </w:r>
            <w:r>
              <w:rPr>
                <w:rFonts w:hint="eastAsia" w:ascii="宋体" w:hAnsi="宋体" w:cs="宋体"/>
                <w:sz w:val="24"/>
                <w:lang w:val="en-US" w:eastAsia="zh-CN"/>
              </w:rPr>
              <w:t>.</w:t>
            </w:r>
            <w:r>
              <w:rPr>
                <w:rFonts w:hint="eastAsia" w:ascii="宋体" w:hAnsi="宋体" w:eastAsia="宋体" w:cs="宋体"/>
                <w:sz w:val="24"/>
                <w:lang w:val="en-US" w:eastAsia="zh-Hans"/>
              </w:rPr>
              <w:t>主机</w:t>
            </w:r>
            <w:r>
              <w:rPr>
                <w:rFonts w:hint="eastAsia" w:ascii="宋体" w:hAnsi="宋体" w:cs="宋体"/>
                <w:sz w:val="24"/>
                <w:lang w:val="en-US" w:eastAsia="zh-CN"/>
              </w:rPr>
              <w:t>，</w:t>
            </w:r>
          </w:p>
          <w:p w14:paraId="1D1A1F6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lang w:val="en-US" w:eastAsia="zh-CN"/>
              </w:rPr>
            </w:pPr>
            <w:r>
              <w:rPr>
                <w:rFonts w:hint="eastAsia" w:ascii="宋体" w:hAnsi="宋体" w:eastAsia="宋体" w:cs="宋体"/>
                <w:sz w:val="24"/>
                <w:lang w:eastAsia="zh-Hans"/>
              </w:rPr>
              <w:t>2</w:t>
            </w:r>
            <w:r>
              <w:rPr>
                <w:rFonts w:hint="eastAsia" w:ascii="宋体" w:hAnsi="宋体" w:cs="宋体"/>
                <w:sz w:val="24"/>
                <w:lang w:val="en-US" w:eastAsia="zh-CN"/>
              </w:rPr>
              <w:t>.</w:t>
            </w:r>
            <w:r>
              <w:rPr>
                <w:rFonts w:hint="eastAsia" w:ascii="宋体" w:hAnsi="宋体" w:eastAsia="宋体" w:cs="宋体"/>
                <w:sz w:val="24"/>
                <w:lang w:val="en-US" w:eastAsia="zh-Hans"/>
              </w:rPr>
              <w:t>医用放大镜</w:t>
            </w:r>
            <w:r>
              <w:rPr>
                <w:rFonts w:hint="eastAsia" w:ascii="宋体" w:hAnsi="宋体" w:cs="宋体"/>
                <w:sz w:val="24"/>
                <w:lang w:val="en-US" w:eastAsia="zh-CN"/>
              </w:rPr>
              <w:t>，</w:t>
            </w:r>
          </w:p>
          <w:p w14:paraId="2472DB1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eastAsia="zh-Hans"/>
              </w:rPr>
              <w:t>3</w:t>
            </w:r>
            <w:r>
              <w:rPr>
                <w:rFonts w:hint="eastAsia" w:ascii="宋体" w:hAnsi="宋体" w:cs="宋体"/>
                <w:sz w:val="24"/>
                <w:lang w:val="en-US" w:eastAsia="zh-CN"/>
              </w:rPr>
              <w:t>.</w:t>
            </w:r>
            <w:r>
              <w:rPr>
                <w:rFonts w:hint="eastAsia" w:ascii="宋体" w:hAnsi="宋体" w:eastAsia="宋体" w:cs="宋体"/>
                <w:sz w:val="24"/>
                <w:lang w:val="en-US" w:eastAsia="zh-Hans"/>
              </w:rPr>
              <w:t>手提箱</w:t>
            </w:r>
            <w:r>
              <w:rPr>
                <w:rFonts w:hint="eastAsia" w:ascii="宋体" w:hAnsi="宋体" w:cs="宋体"/>
                <w:sz w:val="24"/>
                <w:lang w:val="en-US" w:eastAsia="zh-CN"/>
              </w:rPr>
              <w:t>。</w:t>
            </w:r>
          </w:p>
        </w:tc>
      </w:tr>
      <w:tr w14:paraId="15C97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14:paraId="40E38807">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sz w:val="24"/>
              </w:rPr>
            </w:pPr>
            <w:r>
              <w:rPr>
                <w:rFonts w:hint="eastAsia" w:ascii="宋体" w:hAnsi="宋体" w:eastAsia="宋体" w:cs="宋体"/>
                <w:sz w:val="24"/>
              </w:rPr>
              <w:t>其它要求</w:t>
            </w:r>
          </w:p>
        </w:tc>
        <w:tc>
          <w:tcPr>
            <w:tcW w:w="7020" w:type="dxa"/>
            <w:tcBorders>
              <w:top w:val="single" w:color="auto" w:sz="4" w:space="0"/>
              <w:left w:val="single" w:color="auto" w:sz="4" w:space="0"/>
              <w:bottom w:val="single" w:color="auto" w:sz="4" w:space="0"/>
              <w:right w:val="single" w:color="auto" w:sz="4" w:space="0"/>
            </w:tcBorders>
            <w:noWrap w:val="0"/>
            <w:vAlign w:val="top"/>
          </w:tcPr>
          <w:p w14:paraId="03DDC6CE">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sz w:val="24"/>
                <w:lang w:val="en-US" w:eastAsia="zh-CN"/>
              </w:rPr>
            </w:pPr>
            <w:r>
              <w:rPr>
                <w:rFonts w:hint="eastAsia" w:ascii="宋体" w:hAnsi="宋体" w:cs="宋体"/>
                <w:sz w:val="24"/>
                <w:lang w:val="en-US" w:eastAsia="zh-CN"/>
              </w:rPr>
              <w:t>不</w:t>
            </w:r>
            <w:r>
              <w:rPr>
                <w:rFonts w:hint="eastAsia" w:ascii="宋体" w:hAnsi="宋体" w:eastAsia="宋体" w:cs="宋体"/>
                <w:sz w:val="24"/>
                <w:lang w:val="en-US" w:eastAsia="zh-CN"/>
              </w:rPr>
              <w:t>需要医院网络系统。</w:t>
            </w:r>
          </w:p>
        </w:tc>
      </w:tr>
    </w:tbl>
    <w:p w14:paraId="3DA9A48C">
      <w:pPr>
        <w:keepNext w:val="0"/>
        <w:keepLines w:val="0"/>
        <w:pageBreakBefore w:val="0"/>
        <w:widowControl w:val="0"/>
        <w:kinsoku/>
        <w:wordWrap w:val="0"/>
        <w:overflowPunct/>
        <w:topLinePunct w:val="0"/>
        <w:autoSpaceDE/>
        <w:autoSpaceDN/>
        <w:bidi w:val="0"/>
        <w:adjustRightInd/>
        <w:spacing w:before="0" w:after="0" w:line="500" w:lineRule="exact"/>
        <w:ind w:left="20" w:right="460" w:firstLine="380"/>
        <w:jc w:val="both"/>
        <w:textAlignment w:val="auto"/>
        <w:rPr>
          <w:rFonts w:hint="default" w:ascii="宋体" w:hAnsi="宋体" w:eastAsia="宋体"/>
          <w:color w:val="000000"/>
          <w:sz w:val="31"/>
          <w:lang w:val="en-US" w:eastAsia="zh-CN"/>
        </w:rPr>
      </w:pPr>
      <w:r>
        <w:rPr>
          <w:rFonts w:hint="eastAsia" w:ascii="宋体" w:hAnsi="宋体" w:eastAsia="宋体"/>
          <w:color w:val="000000"/>
          <w:sz w:val="31"/>
          <w:lang w:val="en-US" w:eastAsia="zh-CN"/>
        </w:rPr>
        <w:t>以下配套设备耗材报价</w:t>
      </w:r>
    </w:p>
    <w:tbl>
      <w:tblPr>
        <w:tblStyle w:val="5"/>
        <w:tblW w:w="97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5"/>
        <w:gridCol w:w="870"/>
        <w:gridCol w:w="2220"/>
        <w:gridCol w:w="1470"/>
        <w:gridCol w:w="855"/>
        <w:gridCol w:w="1770"/>
        <w:gridCol w:w="1245"/>
        <w:gridCol w:w="720"/>
      </w:tblGrid>
      <w:tr w14:paraId="12B4F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75BD42"/>
            <w:noWrap/>
            <w:vAlign w:val="center"/>
          </w:tcPr>
          <w:p w14:paraId="5E68C31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870" w:type="dxa"/>
            <w:tcBorders>
              <w:top w:val="single" w:color="000000" w:sz="4" w:space="0"/>
              <w:left w:val="single" w:color="000000" w:sz="4" w:space="0"/>
              <w:bottom w:val="single" w:color="000000" w:sz="4" w:space="0"/>
              <w:right w:val="single" w:color="000000" w:sz="4" w:space="0"/>
            </w:tcBorders>
            <w:shd w:val="clear" w:color="auto" w:fill="75BD42"/>
            <w:vAlign w:val="center"/>
          </w:tcPr>
          <w:p w14:paraId="771E1B6A">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货品编号</w:t>
            </w:r>
          </w:p>
        </w:tc>
        <w:tc>
          <w:tcPr>
            <w:tcW w:w="2220" w:type="dxa"/>
            <w:tcBorders>
              <w:top w:val="single" w:color="000000" w:sz="4" w:space="0"/>
              <w:left w:val="single" w:color="000000" w:sz="4" w:space="0"/>
              <w:bottom w:val="single" w:color="000000" w:sz="4" w:space="0"/>
              <w:right w:val="single" w:color="000000" w:sz="4" w:space="0"/>
            </w:tcBorders>
            <w:shd w:val="clear" w:color="auto" w:fill="75BD42"/>
            <w:vAlign w:val="center"/>
          </w:tcPr>
          <w:p w14:paraId="1768BA68">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货品名称</w:t>
            </w:r>
          </w:p>
        </w:tc>
        <w:tc>
          <w:tcPr>
            <w:tcW w:w="1470" w:type="dxa"/>
            <w:tcBorders>
              <w:top w:val="single" w:color="000000" w:sz="4" w:space="0"/>
              <w:left w:val="single" w:color="000000" w:sz="4" w:space="0"/>
              <w:bottom w:val="single" w:color="000000" w:sz="4" w:space="0"/>
              <w:right w:val="single" w:color="000000" w:sz="4" w:space="0"/>
            </w:tcBorders>
            <w:shd w:val="clear" w:color="auto" w:fill="75BD42"/>
            <w:vAlign w:val="center"/>
          </w:tcPr>
          <w:p w14:paraId="2763761C">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w:t>
            </w:r>
          </w:p>
        </w:tc>
        <w:tc>
          <w:tcPr>
            <w:tcW w:w="855" w:type="dxa"/>
            <w:tcBorders>
              <w:top w:val="single" w:color="000000" w:sz="4" w:space="0"/>
              <w:left w:val="single" w:color="000000" w:sz="4" w:space="0"/>
              <w:bottom w:val="single" w:color="000000" w:sz="4" w:space="0"/>
              <w:right w:val="single" w:color="000000" w:sz="4" w:space="0"/>
            </w:tcBorders>
            <w:shd w:val="clear" w:color="auto" w:fill="75BD42"/>
            <w:noWrap/>
            <w:vAlign w:val="center"/>
          </w:tcPr>
          <w:p w14:paraId="596B66E4">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1770" w:type="dxa"/>
            <w:tcBorders>
              <w:top w:val="single" w:color="000000" w:sz="4" w:space="0"/>
              <w:left w:val="single" w:color="000000" w:sz="4" w:space="0"/>
              <w:bottom w:val="single" w:color="000000" w:sz="4" w:space="0"/>
              <w:right w:val="single" w:color="000000" w:sz="4" w:space="0"/>
            </w:tcBorders>
            <w:shd w:val="clear" w:color="auto" w:fill="75BD42"/>
            <w:noWrap/>
            <w:vAlign w:val="center"/>
          </w:tcPr>
          <w:p w14:paraId="7039A867">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注册证号</w:t>
            </w:r>
          </w:p>
        </w:tc>
        <w:tc>
          <w:tcPr>
            <w:tcW w:w="1245" w:type="dxa"/>
            <w:tcBorders>
              <w:top w:val="single" w:color="000000" w:sz="4" w:space="0"/>
              <w:left w:val="single" w:color="000000" w:sz="4" w:space="0"/>
              <w:bottom w:val="single" w:color="000000" w:sz="4" w:space="0"/>
              <w:right w:val="single" w:color="000000" w:sz="4" w:space="0"/>
            </w:tcBorders>
            <w:shd w:val="clear" w:color="auto" w:fill="75BD42"/>
            <w:noWrap/>
            <w:vAlign w:val="center"/>
          </w:tcPr>
          <w:p w14:paraId="113C5DBC">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医保编码</w:t>
            </w:r>
          </w:p>
        </w:tc>
        <w:tc>
          <w:tcPr>
            <w:tcW w:w="720" w:type="dxa"/>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43005E59">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价格</w:t>
            </w:r>
          </w:p>
        </w:tc>
      </w:tr>
      <w:tr w14:paraId="6C0D1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19F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CC62C">
            <w:pPr>
              <w:jc w:val="left"/>
              <w:rPr>
                <w:rFonts w:hint="eastAsia" w:ascii="宋体" w:hAnsi="宋体" w:eastAsia="宋体" w:cs="宋体"/>
                <w:i w:val="0"/>
                <w:iCs w:val="0"/>
                <w:color w:val="000000"/>
                <w:sz w:val="22"/>
                <w:szCs w:val="22"/>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DC4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4D4A6">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A548B">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87B80">
            <w:pPr>
              <w:jc w:val="left"/>
              <w:rPr>
                <w:rFonts w:hint="eastAsia" w:ascii="宋体" w:hAnsi="宋体" w:eastAsia="宋体" w:cs="宋体"/>
                <w:i w:val="0"/>
                <w:iCs w:val="0"/>
                <w:color w:val="000000"/>
                <w:sz w:val="22"/>
                <w:szCs w:val="22"/>
                <w:u w:val="none"/>
              </w:rPr>
            </w:pPr>
          </w:p>
        </w:tc>
        <w:tc>
          <w:tcPr>
            <w:tcW w:w="0" w:type="auto"/>
            <w:tcBorders>
              <w:top w:val="nil"/>
              <w:left w:val="single" w:color="000000" w:sz="4" w:space="0"/>
              <w:bottom w:val="single" w:color="000000" w:sz="4" w:space="0"/>
              <w:right w:val="single" w:color="000000" w:sz="4" w:space="0"/>
            </w:tcBorders>
            <w:shd w:val="clear" w:color="auto" w:fill="auto"/>
            <w:noWrap/>
            <w:vAlign w:val="center"/>
          </w:tcPr>
          <w:p w14:paraId="3CB6EA70">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E55F4">
            <w:pPr>
              <w:rPr>
                <w:rFonts w:hint="eastAsia" w:ascii="宋体" w:hAnsi="宋体" w:eastAsia="宋体" w:cs="宋体"/>
                <w:i w:val="0"/>
                <w:iCs w:val="0"/>
                <w:color w:val="000000"/>
                <w:sz w:val="22"/>
                <w:szCs w:val="22"/>
                <w:u w:val="none"/>
              </w:rPr>
            </w:pPr>
          </w:p>
        </w:tc>
      </w:tr>
      <w:tr w14:paraId="0C384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8C6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F4589">
            <w:pPr>
              <w:jc w:val="left"/>
              <w:rPr>
                <w:rFonts w:hint="eastAsia" w:ascii="宋体" w:hAnsi="宋体" w:eastAsia="宋体" w:cs="宋体"/>
                <w:i w:val="0"/>
                <w:iCs w:val="0"/>
                <w:color w:val="000000"/>
                <w:sz w:val="22"/>
                <w:szCs w:val="22"/>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7B4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255A4">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956CD">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86347">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FBB13">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4492A">
            <w:pPr>
              <w:rPr>
                <w:rFonts w:hint="eastAsia" w:ascii="宋体" w:hAnsi="宋体" w:eastAsia="宋体" w:cs="宋体"/>
                <w:i w:val="0"/>
                <w:iCs w:val="0"/>
                <w:color w:val="000000"/>
                <w:sz w:val="22"/>
                <w:szCs w:val="22"/>
                <w:u w:val="none"/>
              </w:rPr>
            </w:pPr>
          </w:p>
        </w:tc>
      </w:tr>
      <w:tr w14:paraId="71A5E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301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CB899">
            <w:pPr>
              <w:jc w:val="left"/>
              <w:rPr>
                <w:rFonts w:hint="eastAsia" w:ascii="宋体" w:hAnsi="宋体" w:eastAsia="宋体" w:cs="宋体"/>
                <w:i w:val="0"/>
                <w:iCs w:val="0"/>
                <w:color w:val="000000"/>
                <w:sz w:val="22"/>
                <w:szCs w:val="22"/>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2F3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1B627">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58C78">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B423B">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EEDFB">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CBBD7">
            <w:pPr>
              <w:rPr>
                <w:rFonts w:hint="eastAsia" w:ascii="宋体" w:hAnsi="宋体" w:eastAsia="宋体" w:cs="宋体"/>
                <w:i w:val="0"/>
                <w:iCs w:val="0"/>
                <w:color w:val="000000"/>
                <w:sz w:val="22"/>
                <w:szCs w:val="22"/>
                <w:u w:val="none"/>
              </w:rPr>
            </w:pPr>
          </w:p>
        </w:tc>
      </w:tr>
      <w:tr w14:paraId="563AC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E66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968E6">
            <w:pPr>
              <w:jc w:val="left"/>
              <w:rPr>
                <w:rFonts w:hint="eastAsia" w:ascii="宋体" w:hAnsi="宋体" w:eastAsia="宋体" w:cs="宋体"/>
                <w:i w:val="0"/>
                <w:iCs w:val="0"/>
                <w:color w:val="000000"/>
                <w:sz w:val="22"/>
                <w:szCs w:val="22"/>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66B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D97B8">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44DCF">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4F002">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C22E4">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31056">
            <w:pPr>
              <w:rPr>
                <w:rFonts w:hint="eastAsia" w:ascii="宋体" w:hAnsi="宋体" w:eastAsia="宋体" w:cs="宋体"/>
                <w:i w:val="0"/>
                <w:iCs w:val="0"/>
                <w:color w:val="000000"/>
                <w:sz w:val="22"/>
                <w:szCs w:val="22"/>
                <w:u w:val="none"/>
              </w:rPr>
            </w:pPr>
          </w:p>
        </w:tc>
      </w:tr>
    </w:tbl>
    <w:p w14:paraId="22903A5E">
      <w:pPr>
        <w:wordWrap w:val="0"/>
        <w:spacing w:before="0" w:after="0" w:line="297" w:lineRule="auto"/>
        <w:ind w:left="20" w:right="460" w:firstLine="380"/>
        <w:jc w:val="both"/>
        <w:rPr>
          <w:rFonts w:hint="default" w:ascii="宋体" w:hAnsi="宋体" w:eastAsia="宋体"/>
          <w:color w:val="000000"/>
          <w:sz w:val="31"/>
          <w:lang w:val="en-US" w:eastAsia="zh-CN"/>
        </w:rPr>
      </w:pPr>
    </w:p>
    <w:p w14:paraId="46607ADF">
      <w:pPr>
        <w:wordWrap w:val="0"/>
        <w:spacing w:before="0" w:after="0" w:line="297" w:lineRule="auto"/>
        <w:ind w:left="20" w:right="460" w:firstLine="380"/>
        <w:jc w:val="both"/>
        <w:rPr>
          <w:rFonts w:hint="default" w:ascii="宋体" w:hAnsi="宋体" w:eastAsia="宋体"/>
          <w:color w:val="000000"/>
          <w:sz w:val="31"/>
          <w:lang w:val="en-US" w:eastAsia="zh-CN"/>
        </w:rPr>
      </w:pPr>
    </w:p>
    <w:p w14:paraId="259FFD12">
      <w:pPr>
        <w:pStyle w:val="4"/>
        <w:keepNext w:val="0"/>
        <w:keepLines w:val="0"/>
        <w:pageBreakBefore w:val="0"/>
        <w:widowControl w:val="0"/>
        <w:kinsoku/>
        <w:wordWrap/>
        <w:overflowPunct/>
        <w:topLinePunct w:val="0"/>
        <w:autoSpaceDE/>
        <w:autoSpaceDN/>
        <w:bidi w:val="0"/>
        <w:adjustRightInd/>
        <w:ind w:firstLine="560" w:firstLineChars="200"/>
        <w:textAlignment w:val="auto"/>
        <w:rPr>
          <w:rFonts w:hint="eastAsia"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三、配件</w:t>
      </w:r>
    </w:p>
    <w:p w14:paraId="544C0489">
      <w:pPr>
        <w:pStyle w:val="4"/>
        <w:keepNext w:val="0"/>
        <w:keepLines w:val="0"/>
        <w:pageBreakBefore w:val="0"/>
        <w:widowControl w:val="0"/>
        <w:kinsoku/>
        <w:wordWrap/>
        <w:overflowPunct/>
        <w:topLinePunct w:val="0"/>
        <w:autoSpaceDE/>
        <w:autoSpaceDN/>
        <w:bidi w:val="0"/>
        <w:adjustRightInd/>
        <w:ind w:firstLine="560" w:firstLineChars="200"/>
        <w:textAlignment w:val="auto"/>
        <w:rPr>
          <w:rFonts w:hint="eastAsia"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设备出保修期后配件的价格：</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2521"/>
        <w:gridCol w:w="1704"/>
        <w:gridCol w:w="1704"/>
        <w:gridCol w:w="1704"/>
      </w:tblGrid>
      <w:tr w14:paraId="0FA6F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center"/>
          </w:tcPr>
          <w:p w14:paraId="752780CF">
            <w:pPr>
              <w:pStyle w:val="4"/>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序号</w:t>
            </w:r>
          </w:p>
        </w:tc>
        <w:tc>
          <w:tcPr>
            <w:tcW w:w="2521" w:type="dxa"/>
            <w:vAlign w:val="center"/>
          </w:tcPr>
          <w:p w14:paraId="1FB91E6E">
            <w:pPr>
              <w:pStyle w:val="4"/>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配件名称</w:t>
            </w:r>
          </w:p>
        </w:tc>
        <w:tc>
          <w:tcPr>
            <w:tcW w:w="1704" w:type="dxa"/>
            <w:vAlign w:val="center"/>
          </w:tcPr>
          <w:p w14:paraId="0BEAAEC2">
            <w:pPr>
              <w:pStyle w:val="4"/>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更换频率（次/年）</w:t>
            </w:r>
          </w:p>
        </w:tc>
        <w:tc>
          <w:tcPr>
            <w:tcW w:w="1704" w:type="dxa"/>
            <w:vAlign w:val="center"/>
          </w:tcPr>
          <w:p w14:paraId="609F1450">
            <w:pPr>
              <w:pStyle w:val="4"/>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配件价格（元）</w:t>
            </w:r>
          </w:p>
        </w:tc>
        <w:tc>
          <w:tcPr>
            <w:tcW w:w="1704" w:type="dxa"/>
            <w:vAlign w:val="center"/>
          </w:tcPr>
          <w:p w14:paraId="17196D9D">
            <w:pPr>
              <w:pStyle w:val="4"/>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年合计费用（元）</w:t>
            </w:r>
          </w:p>
        </w:tc>
      </w:tr>
      <w:tr w14:paraId="6D33B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3693645E">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1</w:t>
            </w:r>
          </w:p>
        </w:tc>
        <w:tc>
          <w:tcPr>
            <w:tcW w:w="2521" w:type="dxa"/>
          </w:tcPr>
          <w:p w14:paraId="558CBFE0">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4D8BC38C">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79915B97">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1776FF0D">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r>
      <w:tr w14:paraId="6134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41984706">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2</w:t>
            </w:r>
          </w:p>
        </w:tc>
        <w:tc>
          <w:tcPr>
            <w:tcW w:w="2521" w:type="dxa"/>
          </w:tcPr>
          <w:p w14:paraId="300CECE0">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7D1AFAB7">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787D7424">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619948DC">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r>
      <w:tr w14:paraId="2FA15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5D2566AB">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3</w:t>
            </w:r>
          </w:p>
        </w:tc>
        <w:tc>
          <w:tcPr>
            <w:tcW w:w="2521" w:type="dxa"/>
          </w:tcPr>
          <w:p w14:paraId="1D308D37">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4F140002">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1C52480E">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2D4D5FC3">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r>
      <w:tr w14:paraId="08C6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178963C4">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4</w:t>
            </w:r>
          </w:p>
        </w:tc>
        <w:tc>
          <w:tcPr>
            <w:tcW w:w="2521" w:type="dxa"/>
          </w:tcPr>
          <w:p w14:paraId="5FE39A05">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4210CD49">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4B425012">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5FFE2A1F">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r>
      <w:tr w14:paraId="0FA08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0C496C45">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r>
              <w:rPr>
                <w:rFonts w:hint="eastAsia" w:ascii="微软雅黑" w:hAnsi="微软雅黑" w:eastAsia="微软雅黑" w:cs="微软雅黑"/>
                <w:color w:val="auto"/>
                <w:sz w:val="28"/>
                <w:szCs w:val="28"/>
                <w:vertAlign w:val="baseline"/>
                <w:lang w:val="en-US" w:eastAsia="zh-CN"/>
              </w:rPr>
              <w:t>……</w:t>
            </w:r>
          </w:p>
        </w:tc>
        <w:tc>
          <w:tcPr>
            <w:tcW w:w="2521" w:type="dxa"/>
          </w:tcPr>
          <w:p w14:paraId="7E9F6641">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4304F40A">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712DEB73">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2D71BB80">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r>
      <w:tr w14:paraId="2D705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1D40887E">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合计</w:t>
            </w:r>
          </w:p>
        </w:tc>
        <w:tc>
          <w:tcPr>
            <w:tcW w:w="2521" w:type="dxa"/>
          </w:tcPr>
          <w:p w14:paraId="07670E5B">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61464955">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72149C64">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14:paraId="7AB30127">
            <w:pPr>
              <w:pStyle w:val="4"/>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r>
    </w:tbl>
    <w:p w14:paraId="2B9CC61A">
      <w:pPr>
        <w:wordWrap w:val="0"/>
        <w:spacing w:before="0" w:after="0" w:line="297" w:lineRule="auto"/>
        <w:ind w:left="20" w:right="460" w:firstLine="380"/>
        <w:jc w:val="both"/>
        <w:rPr>
          <w:rFonts w:hint="eastAsia" w:ascii="宋体" w:hAnsi="宋体" w:cs="宋体"/>
          <w:b/>
          <w:bCs/>
          <w:color w:val="C00000"/>
          <w:sz w:val="28"/>
          <w:szCs w:val="28"/>
          <w:lang w:eastAsia="zh-CN"/>
        </w:rPr>
      </w:pPr>
      <w:r>
        <w:rPr>
          <w:rFonts w:hint="eastAsia" w:ascii="宋体" w:hAnsi="宋体" w:cs="宋体"/>
          <w:b/>
          <w:bCs/>
          <w:color w:val="C00000"/>
          <w:sz w:val="28"/>
          <w:szCs w:val="28"/>
          <w:lang w:eastAsia="zh-CN"/>
        </w:rPr>
        <w:t>（</w:t>
      </w:r>
      <w:r>
        <w:rPr>
          <w:rFonts w:hint="eastAsia" w:ascii="宋体" w:hAnsi="宋体" w:cs="宋体"/>
          <w:b/>
          <w:bCs/>
          <w:color w:val="C00000"/>
          <w:sz w:val="28"/>
          <w:szCs w:val="28"/>
          <w:lang w:val="en-US" w:eastAsia="zh-CN"/>
        </w:rPr>
        <w:t>备注：此表由供应商填写，作为评标的重要依据。</w:t>
      </w:r>
      <w:r>
        <w:rPr>
          <w:rFonts w:hint="eastAsia" w:ascii="宋体" w:hAnsi="宋体" w:cs="宋体"/>
          <w:b/>
          <w:bCs/>
          <w:color w:val="C00000"/>
          <w:sz w:val="28"/>
          <w:szCs w:val="28"/>
          <w:lang w:eastAsia="zh-CN"/>
        </w:rPr>
        <w:t>）</w:t>
      </w:r>
    </w:p>
    <w:p w14:paraId="1D662917">
      <w:pPr>
        <w:wordWrap w:val="0"/>
        <w:spacing w:before="0" w:after="0" w:line="297" w:lineRule="auto"/>
        <w:ind w:left="20" w:right="460" w:firstLine="380"/>
        <w:jc w:val="both"/>
        <w:rPr>
          <w:rFonts w:hint="eastAsia" w:ascii="宋体" w:hAnsi="宋体" w:cs="宋体"/>
          <w:b/>
          <w:bCs/>
          <w:color w:val="C00000"/>
          <w:sz w:val="28"/>
          <w:szCs w:val="28"/>
          <w:lang w:eastAsia="zh-CN"/>
        </w:rPr>
      </w:pPr>
    </w:p>
    <w:p w14:paraId="17FF15B0">
      <w:pPr>
        <w:pStyle w:val="4"/>
        <w:keepNext w:val="0"/>
        <w:keepLines w:val="0"/>
        <w:pageBreakBefore w:val="0"/>
        <w:widowControl w:val="0"/>
        <w:kinsoku/>
        <w:wordWrap/>
        <w:overflowPunct/>
        <w:topLinePunct w:val="0"/>
        <w:autoSpaceDE/>
        <w:autoSpaceDN/>
        <w:bidi w:val="0"/>
        <w:adjustRightInd/>
        <w:ind w:firstLine="560" w:firstLineChars="200"/>
        <w:textAlignment w:val="auto"/>
        <w:rPr>
          <w:rFonts w:hint="default"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四、设备和检验试剂关系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96"/>
        <w:gridCol w:w="683"/>
        <w:gridCol w:w="839"/>
        <w:gridCol w:w="840"/>
        <w:gridCol w:w="840"/>
        <w:gridCol w:w="849"/>
        <w:gridCol w:w="836"/>
        <w:gridCol w:w="836"/>
        <w:gridCol w:w="836"/>
      </w:tblGrid>
      <w:tr w14:paraId="440CC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967" w:type="dxa"/>
            <w:vAlign w:val="center"/>
          </w:tcPr>
          <w:p w14:paraId="7964131B">
            <w:pPr>
              <w:jc w:val="center"/>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设备名称</w:t>
            </w:r>
          </w:p>
        </w:tc>
        <w:tc>
          <w:tcPr>
            <w:tcW w:w="996" w:type="dxa"/>
            <w:vAlign w:val="center"/>
          </w:tcPr>
          <w:p w14:paraId="522E263E">
            <w:pPr>
              <w:jc w:val="center"/>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设备单价（元）</w:t>
            </w:r>
          </w:p>
        </w:tc>
        <w:tc>
          <w:tcPr>
            <w:tcW w:w="683" w:type="dxa"/>
            <w:vAlign w:val="center"/>
          </w:tcPr>
          <w:p w14:paraId="046BEBDE">
            <w:pPr>
              <w:jc w:val="center"/>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国产/进口</w:t>
            </w:r>
          </w:p>
        </w:tc>
        <w:tc>
          <w:tcPr>
            <w:tcW w:w="839" w:type="dxa"/>
            <w:vAlign w:val="center"/>
          </w:tcPr>
          <w:p w14:paraId="32FC541D">
            <w:pPr>
              <w:jc w:val="center"/>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是否专机专用耗材</w:t>
            </w:r>
          </w:p>
        </w:tc>
        <w:tc>
          <w:tcPr>
            <w:tcW w:w="840" w:type="dxa"/>
            <w:vAlign w:val="center"/>
          </w:tcPr>
          <w:p w14:paraId="4ECC9713">
            <w:pPr>
              <w:jc w:val="center"/>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耗材品牌</w:t>
            </w:r>
          </w:p>
        </w:tc>
        <w:tc>
          <w:tcPr>
            <w:tcW w:w="840" w:type="dxa"/>
            <w:vAlign w:val="center"/>
          </w:tcPr>
          <w:p w14:paraId="063EAD98">
            <w:pPr>
              <w:jc w:val="center"/>
              <w:rPr>
                <w:rFonts w:hint="eastAsia" w:ascii="宋体" w:hAnsi="宋体" w:eastAsia="宋体" w:cs="宋体"/>
                <w:color w:val="auto"/>
                <w:vertAlign w:val="baseline"/>
              </w:rPr>
            </w:pPr>
            <w:r>
              <w:rPr>
                <w:rFonts w:hint="eastAsia" w:ascii="宋体" w:hAnsi="宋体" w:cs="宋体"/>
                <w:color w:val="auto"/>
                <w:vertAlign w:val="baseline"/>
                <w:lang w:val="en-US" w:eastAsia="zh-CN"/>
              </w:rPr>
              <w:t>耗材名称</w:t>
            </w:r>
          </w:p>
        </w:tc>
        <w:tc>
          <w:tcPr>
            <w:tcW w:w="849" w:type="dxa"/>
            <w:vAlign w:val="center"/>
          </w:tcPr>
          <w:p w14:paraId="0D1D2364">
            <w:pPr>
              <w:jc w:val="both"/>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集采/阳光网</w:t>
            </w:r>
          </w:p>
        </w:tc>
        <w:tc>
          <w:tcPr>
            <w:tcW w:w="836" w:type="dxa"/>
            <w:vAlign w:val="center"/>
          </w:tcPr>
          <w:p w14:paraId="1617B2F9">
            <w:pPr>
              <w:jc w:val="center"/>
              <w:rPr>
                <w:rFonts w:hint="eastAsia" w:ascii="宋体" w:hAnsi="宋体" w:cs="宋体"/>
                <w:color w:val="auto"/>
                <w:vertAlign w:val="baseline"/>
                <w:lang w:val="en-US" w:eastAsia="zh-CN"/>
              </w:rPr>
            </w:pPr>
            <w:r>
              <w:rPr>
                <w:rFonts w:hint="eastAsia" w:ascii="宋体" w:hAnsi="宋体" w:cs="宋体"/>
                <w:color w:val="auto"/>
                <w:vertAlign w:val="baseline"/>
                <w:lang w:val="en-US" w:eastAsia="zh-CN"/>
              </w:rPr>
              <w:t>集采价格</w:t>
            </w:r>
          </w:p>
        </w:tc>
        <w:tc>
          <w:tcPr>
            <w:tcW w:w="836" w:type="dxa"/>
            <w:vAlign w:val="center"/>
          </w:tcPr>
          <w:p w14:paraId="2BE58A7B">
            <w:pPr>
              <w:jc w:val="center"/>
              <w:rPr>
                <w:rFonts w:hint="default" w:ascii="宋体" w:hAnsi="宋体" w:cs="宋体"/>
                <w:color w:val="auto"/>
                <w:vertAlign w:val="baseline"/>
                <w:lang w:val="en-US" w:eastAsia="zh-CN"/>
              </w:rPr>
            </w:pPr>
            <w:r>
              <w:rPr>
                <w:rFonts w:hint="eastAsia" w:ascii="宋体" w:hAnsi="宋体" w:cs="宋体"/>
                <w:color w:val="auto"/>
                <w:vertAlign w:val="baseline"/>
                <w:lang w:val="en-US" w:eastAsia="zh-CN"/>
              </w:rPr>
              <w:t>阳光网价格</w:t>
            </w:r>
          </w:p>
        </w:tc>
        <w:tc>
          <w:tcPr>
            <w:tcW w:w="836" w:type="dxa"/>
            <w:vAlign w:val="center"/>
          </w:tcPr>
          <w:p w14:paraId="6132ECA5">
            <w:pPr>
              <w:jc w:val="center"/>
              <w:rPr>
                <w:rFonts w:hint="eastAsia" w:ascii="宋体" w:hAnsi="宋体" w:cs="宋体"/>
                <w:color w:val="auto"/>
                <w:vertAlign w:val="baseline"/>
                <w:lang w:val="en-US" w:eastAsia="zh-CN"/>
              </w:rPr>
            </w:pPr>
            <w:r>
              <w:rPr>
                <w:rFonts w:hint="eastAsia" w:ascii="宋体" w:hAnsi="宋体" w:cs="宋体"/>
                <w:color w:val="auto"/>
                <w:vertAlign w:val="baseline"/>
                <w:lang w:val="en-US" w:eastAsia="zh-CN"/>
              </w:rPr>
              <w:t>阳光网成交价格</w:t>
            </w:r>
          </w:p>
        </w:tc>
      </w:tr>
      <w:tr w14:paraId="5648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14:paraId="5FC6C040">
            <w:pPr>
              <w:rPr>
                <w:rFonts w:hint="eastAsia" w:ascii="宋体" w:hAnsi="宋体" w:eastAsia="宋体" w:cs="宋体"/>
                <w:color w:val="auto"/>
                <w:vertAlign w:val="baseline"/>
              </w:rPr>
            </w:pPr>
          </w:p>
        </w:tc>
        <w:tc>
          <w:tcPr>
            <w:tcW w:w="996" w:type="dxa"/>
            <w:vAlign w:val="center"/>
          </w:tcPr>
          <w:p w14:paraId="7E83CD27">
            <w:pPr>
              <w:rPr>
                <w:rFonts w:hint="eastAsia" w:ascii="宋体" w:hAnsi="宋体" w:eastAsia="宋体" w:cs="宋体"/>
                <w:color w:val="auto"/>
                <w:vertAlign w:val="baseline"/>
              </w:rPr>
            </w:pPr>
          </w:p>
        </w:tc>
        <w:tc>
          <w:tcPr>
            <w:tcW w:w="683" w:type="dxa"/>
            <w:vAlign w:val="center"/>
          </w:tcPr>
          <w:p w14:paraId="035C353C">
            <w:pPr>
              <w:rPr>
                <w:rFonts w:hint="eastAsia" w:ascii="宋体" w:hAnsi="宋体" w:eastAsia="宋体" w:cs="宋体"/>
                <w:color w:val="auto"/>
                <w:vertAlign w:val="baseline"/>
              </w:rPr>
            </w:pPr>
          </w:p>
        </w:tc>
        <w:tc>
          <w:tcPr>
            <w:tcW w:w="839" w:type="dxa"/>
            <w:vAlign w:val="center"/>
          </w:tcPr>
          <w:p w14:paraId="335CF2E6">
            <w:pPr>
              <w:rPr>
                <w:rFonts w:hint="eastAsia" w:ascii="宋体" w:hAnsi="宋体" w:eastAsia="宋体" w:cs="宋体"/>
                <w:color w:val="auto"/>
                <w:vertAlign w:val="baseline"/>
              </w:rPr>
            </w:pPr>
          </w:p>
        </w:tc>
        <w:tc>
          <w:tcPr>
            <w:tcW w:w="840" w:type="dxa"/>
            <w:vAlign w:val="center"/>
          </w:tcPr>
          <w:p w14:paraId="2AFC9D95">
            <w:pPr>
              <w:rPr>
                <w:rFonts w:hint="eastAsia" w:ascii="宋体" w:hAnsi="宋体" w:eastAsia="宋体" w:cs="宋体"/>
                <w:color w:val="auto"/>
                <w:vertAlign w:val="baseline"/>
              </w:rPr>
            </w:pPr>
          </w:p>
        </w:tc>
        <w:tc>
          <w:tcPr>
            <w:tcW w:w="840" w:type="dxa"/>
            <w:vAlign w:val="center"/>
          </w:tcPr>
          <w:p w14:paraId="2C089C22">
            <w:pPr>
              <w:rPr>
                <w:rFonts w:hint="eastAsia" w:ascii="宋体" w:hAnsi="宋体" w:eastAsia="宋体" w:cs="宋体"/>
                <w:color w:val="auto"/>
                <w:vertAlign w:val="baseline"/>
              </w:rPr>
            </w:pPr>
          </w:p>
        </w:tc>
        <w:tc>
          <w:tcPr>
            <w:tcW w:w="849" w:type="dxa"/>
            <w:vAlign w:val="center"/>
          </w:tcPr>
          <w:p w14:paraId="24F2FBEA">
            <w:pPr>
              <w:rPr>
                <w:rFonts w:hint="eastAsia" w:ascii="宋体" w:hAnsi="宋体" w:eastAsia="宋体" w:cs="宋体"/>
                <w:color w:val="auto"/>
                <w:vertAlign w:val="baseline"/>
              </w:rPr>
            </w:pPr>
            <w:r>
              <w:rPr>
                <w:rFonts w:hint="eastAsia" w:ascii="宋体" w:hAnsi="宋体" w:cs="宋体"/>
                <w:color w:val="auto"/>
                <w:vertAlign w:val="baseline"/>
                <w:lang w:val="en-US" w:eastAsia="zh-CN"/>
              </w:rPr>
              <w:t>集采</w:t>
            </w:r>
          </w:p>
        </w:tc>
        <w:tc>
          <w:tcPr>
            <w:tcW w:w="836" w:type="dxa"/>
            <w:vAlign w:val="center"/>
          </w:tcPr>
          <w:p w14:paraId="7AEA24A2">
            <w:pPr>
              <w:rPr>
                <w:rFonts w:hint="default" w:ascii="宋体" w:hAnsi="宋体" w:eastAsia="宋体" w:cs="宋体"/>
                <w:color w:val="auto"/>
                <w:vertAlign w:val="baseline"/>
                <w:lang w:val="en-US" w:eastAsia="zh-CN"/>
              </w:rPr>
            </w:pPr>
          </w:p>
        </w:tc>
        <w:tc>
          <w:tcPr>
            <w:tcW w:w="836" w:type="dxa"/>
            <w:vAlign w:val="center"/>
          </w:tcPr>
          <w:p w14:paraId="059459CE">
            <w:pPr>
              <w:rPr>
                <w:rFonts w:hint="eastAsia" w:ascii="宋体" w:hAnsi="宋体" w:eastAsia="宋体" w:cs="宋体"/>
                <w:color w:val="auto"/>
                <w:vertAlign w:val="baseline"/>
              </w:rPr>
            </w:pPr>
          </w:p>
        </w:tc>
        <w:tc>
          <w:tcPr>
            <w:tcW w:w="836" w:type="dxa"/>
            <w:vAlign w:val="center"/>
          </w:tcPr>
          <w:p w14:paraId="32733EB8">
            <w:pPr>
              <w:rPr>
                <w:rFonts w:hint="eastAsia" w:ascii="宋体" w:hAnsi="宋体" w:eastAsia="宋体" w:cs="宋体"/>
                <w:color w:val="auto"/>
                <w:vertAlign w:val="baseline"/>
              </w:rPr>
            </w:pPr>
          </w:p>
        </w:tc>
      </w:tr>
      <w:tr w14:paraId="3CB81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14:paraId="268FBF80">
            <w:pPr>
              <w:rPr>
                <w:rFonts w:hint="eastAsia" w:ascii="宋体" w:hAnsi="宋体" w:eastAsia="宋体" w:cs="宋体"/>
                <w:color w:val="auto"/>
                <w:vertAlign w:val="baseline"/>
              </w:rPr>
            </w:pPr>
          </w:p>
        </w:tc>
        <w:tc>
          <w:tcPr>
            <w:tcW w:w="996" w:type="dxa"/>
            <w:vAlign w:val="center"/>
          </w:tcPr>
          <w:p w14:paraId="308F7F31">
            <w:pPr>
              <w:rPr>
                <w:rFonts w:hint="eastAsia" w:ascii="宋体" w:hAnsi="宋体" w:eastAsia="宋体" w:cs="宋体"/>
                <w:color w:val="auto"/>
                <w:vertAlign w:val="baseline"/>
              </w:rPr>
            </w:pPr>
          </w:p>
        </w:tc>
        <w:tc>
          <w:tcPr>
            <w:tcW w:w="683" w:type="dxa"/>
            <w:vAlign w:val="center"/>
          </w:tcPr>
          <w:p w14:paraId="3F3E5F93">
            <w:pPr>
              <w:rPr>
                <w:rFonts w:hint="eastAsia" w:ascii="宋体" w:hAnsi="宋体" w:eastAsia="宋体" w:cs="宋体"/>
                <w:color w:val="auto"/>
                <w:vertAlign w:val="baseline"/>
              </w:rPr>
            </w:pPr>
          </w:p>
        </w:tc>
        <w:tc>
          <w:tcPr>
            <w:tcW w:w="839" w:type="dxa"/>
            <w:vAlign w:val="center"/>
          </w:tcPr>
          <w:p w14:paraId="3E75B2C2">
            <w:pPr>
              <w:rPr>
                <w:rFonts w:hint="eastAsia" w:ascii="宋体" w:hAnsi="宋体" w:eastAsia="宋体" w:cs="宋体"/>
                <w:color w:val="auto"/>
                <w:vertAlign w:val="baseline"/>
              </w:rPr>
            </w:pPr>
          </w:p>
        </w:tc>
        <w:tc>
          <w:tcPr>
            <w:tcW w:w="840" w:type="dxa"/>
            <w:vAlign w:val="center"/>
          </w:tcPr>
          <w:p w14:paraId="30129182">
            <w:pPr>
              <w:rPr>
                <w:rFonts w:hint="eastAsia" w:ascii="宋体" w:hAnsi="宋体" w:eastAsia="宋体" w:cs="宋体"/>
                <w:color w:val="auto"/>
                <w:vertAlign w:val="baseline"/>
              </w:rPr>
            </w:pPr>
          </w:p>
        </w:tc>
        <w:tc>
          <w:tcPr>
            <w:tcW w:w="840" w:type="dxa"/>
            <w:vAlign w:val="center"/>
          </w:tcPr>
          <w:p w14:paraId="666954E5">
            <w:pPr>
              <w:rPr>
                <w:rFonts w:hint="eastAsia" w:ascii="宋体" w:hAnsi="宋体" w:eastAsia="宋体" w:cs="宋体"/>
                <w:color w:val="auto"/>
                <w:vertAlign w:val="baseline"/>
              </w:rPr>
            </w:pPr>
          </w:p>
        </w:tc>
        <w:tc>
          <w:tcPr>
            <w:tcW w:w="849" w:type="dxa"/>
            <w:vAlign w:val="center"/>
          </w:tcPr>
          <w:p w14:paraId="3F3171B8">
            <w:pPr>
              <w:rPr>
                <w:rFonts w:hint="eastAsia" w:ascii="宋体" w:hAnsi="宋体" w:eastAsia="宋体" w:cs="宋体"/>
                <w:color w:val="auto"/>
                <w:vertAlign w:val="baseline"/>
              </w:rPr>
            </w:pPr>
            <w:r>
              <w:rPr>
                <w:rFonts w:hint="eastAsia" w:ascii="宋体" w:hAnsi="宋体" w:cs="宋体"/>
                <w:color w:val="auto"/>
                <w:vertAlign w:val="baseline"/>
                <w:lang w:val="en-US" w:eastAsia="zh-CN"/>
              </w:rPr>
              <w:t>阳光网</w:t>
            </w:r>
          </w:p>
        </w:tc>
        <w:tc>
          <w:tcPr>
            <w:tcW w:w="836" w:type="dxa"/>
            <w:vAlign w:val="center"/>
          </w:tcPr>
          <w:p w14:paraId="35FFA957">
            <w:pPr>
              <w:rPr>
                <w:rFonts w:hint="eastAsia" w:ascii="宋体" w:hAnsi="宋体" w:eastAsia="宋体" w:cs="宋体"/>
                <w:color w:val="auto"/>
                <w:vertAlign w:val="baseline"/>
              </w:rPr>
            </w:pPr>
          </w:p>
        </w:tc>
        <w:tc>
          <w:tcPr>
            <w:tcW w:w="836" w:type="dxa"/>
            <w:vAlign w:val="center"/>
          </w:tcPr>
          <w:p w14:paraId="7B3DE610">
            <w:pPr>
              <w:rPr>
                <w:rFonts w:hint="default" w:ascii="宋体" w:hAnsi="宋体" w:eastAsia="宋体" w:cs="宋体"/>
                <w:color w:val="auto"/>
                <w:vertAlign w:val="baseline"/>
                <w:lang w:val="en-US" w:eastAsia="zh-CN"/>
              </w:rPr>
            </w:pPr>
          </w:p>
        </w:tc>
        <w:tc>
          <w:tcPr>
            <w:tcW w:w="836" w:type="dxa"/>
            <w:vAlign w:val="center"/>
          </w:tcPr>
          <w:p w14:paraId="1D95550D">
            <w:pPr>
              <w:rPr>
                <w:rFonts w:hint="default" w:ascii="宋体" w:hAnsi="宋体" w:eastAsia="宋体" w:cs="宋体"/>
                <w:color w:val="auto"/>
                <w:vertAlign w:val="baseline"/>
                <w:lang w:val="en-US" w:eastAsia="zh-CN"/>
              </w:rPr>
            </w:pPr>
          </w:p>
        </w:tc>
      </w:tr>
      <w:tr w14:paraId="73AD1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967" w:type="dxa"/>
            <w:vAlign w:val="center"/>
          </w:tcPr>
          <w:p w14:paraId="649CEDA6">
            <w:pPr>
              <w:rPr>
                <w:rFonts w:hint="eastAsia" w:ascii="宋体" w:hAnsi="宋体" w:eastAsia="宋体" w:cs="宋体"/>
                <w:color w:val="auto"/>
                <w:vertAlign w:val="baseline"/>
              </w:rPr>
            </w:pPr>
          </w:p>
        </w:tc>
        <w:tc>
          <w:tcPr>
            <w:tcW w:w="996" w:type="dxa"/>
            <w:vAlign w:val="center"/>
          </w:tcPr>
          <w:p w14:paraId="4284C00D">
            <w:pPr>
              <w:rPr>
                <w:rFonts w:hint="eastAsia" w:ascii="宋体" w:hAnsi="宋体" w:eastAsia="宋体" w:cs="宋体"/>
                <w:color w:val="auto"/>
                <w:vertAlign w:val="baseline"/>
              </w:rPr>
            </w:pPr>
          </w:p>
        </w:tc>
        <w:tc>
          <w:tcPr>
            <w:tcW w:w="683" w:type="dxa"/>
            <w:vAlign w:val="center"/>
          </w:tcPr>
          <w:p w14:paraId="05FAD8F3">
            <w:pPr>
              <w:rPr>
                <w:rFonts w:hint="eastAsia" w:ascii="宋体" w:hAnsi="宋体" w:eastAsia="宋体" w:cs="宋体"/>
                <w:color w:val="auto"/>
                <w:vertAlign w:val="baseline"/>
              </w:rPr>
            </w:pPr>
          </w:p>
        </w:tc>
        <w:tc>
          <w:tcPr>
            <w:tcW w:w="839" w:type="dxa"/>
            <w:vAlign w:val="center"/>
          </w:tcPr>
          <w:p w14:paraId="63D5BD64">
            <w:pPr>
              <w:rPr>
                <w:rFonts w:hint="eastAsia" w:ascii="宋体" w:hAnsi="宋体" w:eastAsia="宋体" w:cs="宋体"/>
                <w:color w:val="auto"/>
                <w:vertAlign w:val="baseline"/>
              </w:rPr>
            </w:pPr>
          </w:p>
        </w:tc>
        <w:tc>
          <w:tcPr>
            <w:tcW w:w="840" w:type="dxa"/>
            <w:vAlign w:val="center"/>
          </w:tcPr>
          <w:p w14:paraId="3BB5B85C">
            <w:pPr>
              <w:rPr>
                <w:rFonts w:hint="eastAsia" w:ascii="宋体" w:hAnsi="宋体" w:eastAsia="宋体" w:cs="宋体"/>
                <w:color w:val="auto"/>
                <w:vertAlign w:val="baseline"/>
              </w:rPr>
            </w:pPr>
          </w:p>
        </w:tc>
        <w:tc>
          <w:tcPr>
            <w:tcW w:w="840" w:type="dxa"/>
            <w:vAlign w:val="center"/>
          </w:tcPr>
          <w:p w14:paraId="40329B18">
            <w:pPr>
              <w:rPr>
                <w:rFonts w:hint="eastAsia" w:ascii="宋体" w:hAnsi="宋体" w:eastAsia="宋体" w:cs="宋体"/>
                <w:color w:val="auto"/>
                <w:vertAlign w:val="baseline"/>
              </w:rPr>
            </w:pPr>
          </w:p>
        </w:tc>
        <w:tc>
          <w:tcPr>
            <w:tcW w:w="849" w:type="dxa"/>
            <w:vAlign w:val="center"/>
          </w:tcPr>
          <w:p w14:paraId="70BC9228">
            <w:pPr>
              <w:rPr>
                <w:rFonts w:hint="eastAsia" w:ascii="宋体" w:hAnsi="宋体" w:eastAsia="宋体" w:cs="宋体"/>
                <w:color w:val="auto"/>
                <w:vertAlign w:val="baseline"/>
              </w:rPr>
            </w:pPr>
          </w:p>
        </w:tc>
        <w:tc>
          <w:tcPr>
            <w:tcW w:w="836" w:type="dxa"/>
            <w:vAlign w:val="center"/>
          </w:tcPr>
          <w:p w14:paraId="782B234F">
            <w:pPr>
              <w:rPr>
                <w:rFonts w:hint="eastAsia" w:ascii="宋体" w:hAnsi="宋体" w:eastAsia="宋体" w:cs="宋体"/>
                <w:color w:val="auto"/>
                <w:vertAlign w:val="baseline"/>
              </w:rPr>
            </w:pPr>
          </w:p>
        </w:tc>
        <w:tc>
          <w:tcPr>
            <w:tcW w:w="836" w:type="dxa"/>
            <w:vAlign w:val="center"/>
          </w:tcPr>
          <w:p w14:paraId="0F707A8C">
            <w:pPr>
              <w:rPr>
                <w:rFonts w:hint="eastAsia" w:ascii="宋体" w:hAnsi="宋体" w:eastAsia="宋体" w:cs="宋体"/>
                <w:color w:val="auto"/>
                <w:vertAlign w:val="baseline"/>
              </w:rPr>
            </w:pPr>
          </w:p>
        </w:tc>
        <w:tc>
          <w:tcPr>
            <w:tcW w:w="836" w:type="dxa"/>
            <w:vAlign w:val="center"/>
          </w:tcPr>
          <w:p w14:paraId="08860BCF">
            <w:pPr>
              <w:rPr>
                <w:rFonts w:hint="eastAsia" w:ascii="宋体" w:hAnsi="宋体" w:eastAsia="宋体" w:cs="宋体"/>
                <w:color w:val="auto"/>
                <w:vertAlign w:val="baseline"/>
              </w:rPr>
            </w:pPr>
          </w:p>
        </w:tc>
      </w:tr>
    </w:tbl>
    <w:p w14:paraId="5E8A1DFA">
      <w:pPr>
        <w:rPr>
          <w:rFonts w:hint="eastAsia" w:ascii="宋体" w:hAnsi="宋体" w:eastAsia="宋体" w:cs="宋体"/>
          <w:color w:val="auto"/>
          <w:lang w:eastAsia="zh-CN"/>
        </w:rPr>
      </w:pPr>
      <w:r>
        <w:rPr>
          <w:rFonts w:hint="eastAsia" w:ascii="宋体" w:hAnsi="宋体" w:eastAsia="宋体" w:cs="宋体"/>
          <w:b/>
          <w:bCs/>
          <w:color w:val="C00000"/>
          <w:sz w:val="28"/>
          <w:szCs w:val="28"/>
          <w:lang w:val="en-US" w:eastAsia="zh-CN"/>
        </w:rPr>
        <w:t>（备注：此表由供应商填写，作为评标的重要依据。</w:t>
      </w:r>
      <w:r>
        <w:rPr>
          <w:rFonts w:hint="eastAsia" w:ascii="宋体" w:hAnsi="宋体" w:eastAsia="宋体" w:cs="宋体"/>
          <w:b/>
          <w:bCs/>
          <w:color w:val="C00000"/>
          <w:sz w:val="28"/>
          <w:szCs w:val="28"/>
          <w:lang w:eastAsia="zh-CN"/>
        </w:rPr>
        <w:t>）</w:t>
      </w:r>
    </w:p>
    <w:p w14:paraId="3F92496E">
      <w:pPr>
        <w:keepNext w:val="0"/>
        <w:keepLines w:val="0"/>
        <w:pageBreakBefore w:val="0"/>
        <w:widowControl w:val="0"/>
        <w:kinsoku/>
        <w:wordWrap/>
        <w:overflowPunct/>
        <w:topLinePunct w:val="0"/>
        <w:autoSpaceDE/>
        <w:autoSpaceDN/>
        <w:bidi w:val="0"/>
        <w:adjustRightInd/>
        <w:snapToGrid/>
        <w:spacing w:afterAutospacing="0" w:line="44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yNDI3YmY5ZjZhYjI0YzA4YzI0N2E1MGMzYjc2MmIifQ=="/>
  </w:docVars>
  <w:rsids>
    <w:rsidRoot w:val="78887C68"/>
    <w:rsid w:val="123004F6"/>
    <w:rsid w:val="21056DC1"/>
    <w:rsid w:val="2D2F637D"/>
    <w:rsid w:val="35756AC6"/>
    <w:rsid w:val="46E15407"/>
    <w:rsid w:val="4D36161C"/>
    <w:rsid w:val="510F28B8"/>
    <w:rsid w:val="54477867"/>
    <w:rsid w:val="5A401DFC"/>
    <w:rsid w:val="69F0140A"/>
    <w:rsid w:val="6B53702B"/>
    <w:rsid w:val="6E54741D"/>
    <w:rsid w:val="71040B29"/>
    <w:rsid w:val="78887C68"/>
    <w:rsid w:val="7BE71842"/>
    <w:rsid w:val="8EFE1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15"/>
      <w:szCs w:val="15"/>
      <w:lang w:val="en-US" w:eastAsia="zh-CN" w:bidi="ar-SA"/>
    </w:rPr>
  </w:style>
  <w:style w:type="paragraph" w:styleId="2">
    <w:name w:val="heading 1"/>
    <w:basedOn w:val="1"/>
    <w:next w:val="1"/>
    <w:qFormat/>
    <w:uiPriority w:val="0"/>
    <w:pPr>
      <w:keepNext/>
      <w:keepLines/>
      <w:spacing w:before="340" w:after="330" w:line="576" w:lineRule="auto"/>
      <w:outlineLvl w:val="0"/>
    </w:pPr>
    <w:rPr>
      <w:kern w:val="44"/>
      <w:sz w:val="44"/>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line="0" w:lineRule="atLeast"/>
    </w:pPr>
    <w:rPr>
      <w:sz w:val="30"/>
    </w:rPr>
  </w:style>
  <w:style w:type="paragraph" w:styleId="4">
    <w:name w:val="Plain Text"/>
    <w:basedOn w:val="1"/>
    <w:qFormat/>
    <w:uiPriority w:val="99"/>
    <w:pPr>
      <w:jc w:val="left"/>
    </w:pPr>
    <w:rPr>
      <w:rFonts w:ascii="Courier New" w:hAnsi="Courier New" w:cs="Courier New"/>
      <w:sz w:val="20"/>
      <w:szCs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886</Words>
  <Characters>952</Characters>
  <Lines>0</Lines>
  <Paragraphs>0</Paragraphs>
  <TotalTime>0</TotalTime>
  <ScaleCrop>false</ScaleCrop>
  <LinksUpToDate>false</LinksUpToDate>
  <CharactersWithSpaces>1040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2023-02-28T22:58:00Z</dcterms:created>
  <dc:creator>张军</dc:creator>
  <cp:lastModifiedBy>bl</cp:lastModifiedBy>
  <dcterms:modified xsi:type="dcterms:W3CDTF">2025-10-20T09:56:30Z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DC6FE257577DC8EBBEFC2A679D08A712_43</vt:lpwstr>
  </property>
  <property fmtid="{D5CDD505-2E9C-101B-9397-08002B2CF9AE}" pid="4" name="KSOTemplateDocerSaveRecord">
    <vt:lpwstr>eyJoZGlkIjoiNzBjNGQ2NGEyMzliZTgzMjdiNDZkZWRiMDY5Yzk1ZTMifQ==</vt:lpwstr>
  </property>
</Properties>
</file>