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方舱</w:t>
      </w:r>
      <w:r>
        <w:rPr>
          <w:rFonts w:hint="eastAsia"/>
          <w:b/>
          <w:bCs/>
          <w:sz w:val="44"/>
          <w:szCs w:val="44"/>
        </w:rPr>
        <w:t>CT移机安装调试服务采购要求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一、服务商资质与能力要求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授权与认证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服务商需具备原厂授权或专业医疗器械服务资质，工程师应持有厂家认证的CT设备维修/调试证书。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符合《医疗器械监督管理条例》及《放射诊疗管理规定》相关资质要求。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经验与案例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提供过往CT设备移机成功案例（尤其是同品牌、同型号设备经验）。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熟悉设备结构、软件系统及辐射防护要求。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保险与责任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服务商需投保设备运输险及第三方责任险，明确移机过程中的风险责任划分。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二、移机前准备工作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新场地评估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机房条件：满足设备承重要求（如悬吊式DR需加固天花板），检查电源稳定性（电压波动≤±10%）、接地电阻（≤4Ω）、环境温湿度（通常20-25℃，湿度30-70%）。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提前规划设备运输路径（门宽、电梯尺寸、通道承重）。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设备状态备份与记录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备份设备参数、校准数据、软件配置及患者影像数据。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记录设备原始状态（机械部件、探测器、球管等），留存影像质量基线数据。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三、移机过程技术要求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专业拆装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由原厂或认证工程师主导拆卸，使用专用工具，标记线缆接口及机械部件。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重点保护精密部件（如探测器、球管、滑环等），避免震动或碰撞。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运输规范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使用防震包装，恒温恒湿车辆运输，避免颠簸、倾斜或极端温度。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运输中实时监控设备状态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（如使用GPS和震动传感器记录数据）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设备的连接线全套按新机房的长度更新，旧的保留在方舱内。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安装与校准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重新组装后需进行机械水平校准、机架旋转精度测试、床位移位精度验证。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恢复设备参数及软件配置，确保与移机前一致。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四、调试与验收标准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性能测试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硬件测试：球管曝光测试、探测器响应一致性、机架旋转噪声检测。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图像质量：使用标准模体（如Catphan或AAPM模体）验证空间分辨率、低对比度探测能力、CT值线性、均匀性等。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软件与功能验证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检查所有临床应用协议（如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平扫及增强</w:t>
      </w:r>
      <w:r>
        <w:rPr>
          <w:rFonts w:hint="eastAsia" w:ascii="仿宋" w:hAnsi="仿宋" w:eastAsia="仿宋" w:cs="仿宋"/>
          <w:sz w:val="32"/>
          <w:szCs w:val="32"/>
        </w:rPr>
        <w:t>扫描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、三维重建）是否正常。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确保DICOM传输、PACS系统对接、报告打印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及打印胶片</w:t>
      </w:r>
      <w:r>
        <w:rPr>
          <w:rFonts w:hint="eastAsia" w:ascii="仿宋" w:hAnsi="仿宋" w:eastAsia="仿宋" w:cs="仿宋"/>
          <w:sz w:val="32"/>
          <w:szCs w:val="32"/>
        </w:rPr>
        <w:t>等功能无误。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验收文件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提供完整的移机调试报告，包括性能测试数据、辐射安全检测报告、校准证书。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委托省级放射卫生技术检测机构进行全面性能评估，出具验收报告并存档。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五、后续服务要求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操作培训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对放射科技术人员进行移机后操作培训，重点说明新场地注意事项。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质保与维护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移机调试后提供至少3个月质保期，涵盖因移机导致的潜在故障。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F259F"/>
    <w:rsid w:val="1DA20D5D"/>
    <w:rsid w:val="2DF92AAD"/>
    <w:rsid w:val="4ED3326A"/>
    <w:rsid w:val="646927D8"/>
    <w:rsid w:val="6E000337"/>
    <w:rsid w:val="7A30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2025-04-18T10:33:00Z</dcterms:created>
  <dc:creator>Administrator</dc:creator>
  <cp:lastModifiedBy>蔡永宇</cp:lastModifiedBy>
  <dcterms:modified xsi:type="dcterms:W3CDTF">2025-09-08T08:54:27Z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